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www_v3_livingry_as_the_superior_o_25fe31"/>
      <w:r>
        <w:rPr>
          <w:rFonts w:eastAsia="source serif 4" w:cs="source serif 4" w:ascii="source serif 4" w:hAnsi="source serif 4"/>
          <w:b/>
          <w:color w:val="000000"/>
          <w:sz w:val="39"/>
        </w:rPr>
        <w:t xml:space="preserve">WWW.V3: Livingry as the Superior Operating System to War</w:t>
      </w:r>
      <w:bookmarkEnd w:id="0"/>
    </w:p>
    <w:p>
      <w:pPr>
        <w:spacing w:line="360" w:before="315" w:after="105" w:lineRule="auto"/>
        <w:ind w:left="-30"/>
        <w:jc w:val="left"/>
      </w:pPr>
      <w:bookmarkStart w:id="1" w:name="overview"/>
      <w:r>
        <w:rPr>
          <w:rFonts w:eastAsia="source serif 4" w:cs="source serif 4" w:ascii="source serif 4" w:hAnsi="source serif 4"/>
          <w:b/>
          <w:color w:val="000000"/>
          <w:sz w:val="24"/>
        </w:rPr>
        <w:t xml:space="preserve">Overview</w:t>
      </w:r>
      <w:bookmarkEnd w:id="1"/>
    </w:p>
    <w:p>
      <w:pPr>
        <w:spacing w:line="360" w:after="210" w:lineRule="auto"/>
      </w:pPr>
      <w:r>
        <w:rPr>
          <w:rFonts w:eastAsia="source serif 4" w:cs="source serif 4" w:ascii="source serif 4" w:hAnsi="source serif 4"/>
          <w:color w:val="000000"/>
        </w:rPr>
        <w:t xml:space="preserve">WWW.V3 is a proposed civilizational framework for replacing automated conflict logic with machine-assisted de-escalation, shared prosperity, and high-quality life systems. The core claim is that war and war cessation are human behavioral problems, while machines should be designed as infrastructure for crisis resolution, resource optimization, and incentive redesign rather than as autonomous engines of escalation.[cite:14][cite:21][cite:22][cite:23]</w:t>
      </w:r>
    </w:p>
    <w:p>
      <w:pPr>
        <w:spacing w:line="360" w:after="210" w:lineRule="auto"/>
      </w:pPr>
      <w:r>
        <w:rPr>
          <w:rFonts w:eastAsia="source serif 4" w:cs="source serif 4" w:ascii="source serif 4" w:hAnsi="source serif 4"/>
          <w:color w:val="000000"/>
        </w:rPr>
        <w:t xml:space="preserve">The term "livingry" comes from R. Buckminster Fuller’s call to convert high technology from weaponry to life-advantaging systems, with the explicit aim of making the world work for all people without ecological harm or structural disadvantage.[cite:13][cite:14][cite:23] In that sense, WWW.V3 does not describe a third world war. It describes a third major architecture for organizing planetary coordination: after industrial war systems and deterrence systems, the next version is a living systems architecture that outcompetes conflict triggers by making violence less rational, less necessary, and less administratively available.[cite:14][cite:21][cite:22]</w:t>
      </w:r>
    </w:p>
    <w:p>
      <w:pPr>
        <w:spacing w:line="360" w:before="315" w:after="105" w:lineRule="auto"/>
        <w:ind w:left="-30"/>
        <w:jc w:val="left"/>
      </w:pPr>
      <w:bookmarkStart w:id="2" w:name="core_thesis"/>
      <w:r>
        <w:rPr>
          <w:rFonts w:eastAsia="source serif 4" w:cs="source serif 4" w:ascii="source serif 4" w:hAnsi="source serif 4"/>
          <w:b/>
          <w:color w:val="000000"/>
          <w:sz w:val="24"/>
        </w:rPr>
        <w:t xml:space="preserve">Core Thesis</w:t>
      </w:r>
      <w:bookmarkEnd w:id="2"/>
    </w:p>
    <w:p>
      <w:pPr>
        <w:spacing w:line="360" w:after="210" w:lineRule="auto"/>
      </w:pPr>
      <w:r>
        <w:rPr>
          <w:rFonts w:eastAsia="source serif 4" w:cs="source serif 4" w:ascii="source serif 4" w:hAnsi="source serif 4"/>
          <w:color w:val="000000"/>
        </w:rPr>
        <w:t xml:space="preserve">The strategic premise of WWW.V3 is that violent confrontation usually emerges from persistent scarcity, status competition, governance failure, mistrust, and narrative capture. A machine layer trained and governed for livingry should therefore be optimized to detect these conditions early and offer better alternatives before crisis hardens into confrontation.[cite:17][cite:22][cite:24]</w:t>
      </w:r>
    </w:p>
    <w:p>
      <w:pPr>
        <w:spacing w:line="360" w:after="210" w:lineRule="auto"/>
      </w:pPr>
      <w:r>
        <w:rPr>
          <w:rFonts w:eastAsia="source serif 4" w:cs="source serif 4" w:ascii="source serif 4" w:hAnsi="source serif 4"/>
          <w:color w:val="000000"/>
        </w:rPr>
        <w:t xml:space="preserve">This requires a design reversal. Conventional military AI frameworks often focus on speed, advantage, deterrence, and superior response. WWW.V3 instead prioritizes friction against escalation and velocity for relief, mediation, transparency, and mutual gain.[cite:17][cite:22] Its north star is not battlefield superiority but conflict obsolescence through continuously available positive-sum options.[cite:14][cite:23]</w:t>
      </w:r>
    </w:p>
    <w:p>
      <w:pPr>
        <w:spacing w:line="360" w:before="315" w:after="105" w:lineRule="auto"/>
        <w:ind w:left="-30"/>
        <w:jc w:val="left"/>
      </w:pPr>
      <w:bookmarkStart w:id="3" w:name="why_www_v3_is_more_accurate_than_ww3"/>
      <w:r>
        <w:rPr>
          <w:rFonts w:eastAsia="source serif 4" w:cs="source serif 4" w:ascii="source serif 4" w:hAnsi="source serif 4"/>
          <w:b/>
          <w:color w:val="000000"/>
          <w:sz w:val="24"/>
        </w:rPr>
        <w:t xml:space="preserve">Why "WWW.V3" Is More Accurate Than "WW3"</w:t>
      </w:r>
      <w:bookmarkEnd w:id="3"/>
    </w:p>
    <w:p>
      <w:pPr>
        <w:spacing w:line="360" w:after="210" w:lineRule="auto"/>
      </w:pPr>
      <w:r>
        <w:rPr>
          <w:rFonts w:eastAsia="source serif 4" w:cs="source serif 4" w:ascii="source serif 4" w:hAnsi="source serif 4"/>
          <w:color w:val="000000"/>
        </w:rPr>
        <w:t xml:space="preserve">"WW3" implies a familiar frame: blocs, theaters, escalation ladders, and kinetic culmination. That frame is too narrow for the actual structure of contemporary risk, which spans economics, energy, food systems, logistics, cyber systems, information ecosystems, and public legitimacy at the same time.[cite:22][cite:24]</w:t>
      </w:r>
    </w:p>
    <w:p>
      <w:pPr>
        <w:spacing w:line="360" w:after="210" w:lineRule="auto"/>
      </w:pPr>
      <w:r>
        <w:rPr>
          <w:rFonts w:eastAsia="source serif 4" w:cs="source serif 4" w:ascii="source serif 4" w:hAnsi="source serif 4"/>
          <w:color w:val="000000"/>
        </w:rPr>
        <w:t xml:space="preserve">"WWW.V3" is more accurate because it names a world-wide condition rather than a single war event. It treats humanity’s challenge as a systems-design problem in which crisis triggers propagate across networks and where the decisive question is whether machine intelligence will amplify old conflict reflexes or help societies route around them with better choices.[cite:14][cite:21][cite:22]</w:t>
      </w:r>
    </w:p>
    <w:p>
      <w:pPr>
        <w:spacing w:line="360" w:before="315" w:after="105" w:lineRule="auto"/>
        <w:ind w:left="-30"/>
        <w:jc w:val="left"/>
      </w:pPr>
      <w:bookmarkStart w:id="4" w:name="livingry_in_lieu_of_weaponry"/>
      <w:r>
        <w:rPr>
          <w:rFonts w:eastAsia="source serif 4" w:cs="source serif 4" w:ascii="source serif 4" w:hAnsi="source serif 4"/>
          <w:b/>
          <w:color w:val="000000"/>
          <w:sz w:val="24"/>
        </w:rPr>
        <w:t xml:space="preserve">Livingry in Lieu of Weaponry</w:t>
      </w:r>
      <w:bookmarkEnd w:id="4"/>
    </w:p>
    <w:p>
      <w:pPr>
        <w:spacing w:line="360" w:after="210" w:lineRule="auto"/>
      </w:pPr>
      <w:r>
        <w:rPr>
          <w:rFonts w:eastAsia="source serif 4" w:cs="source serif 4" w:ascii="source serif 4" w:hAnsi="source serif 4"/>
          <w:color w:val="000000"/>
        </w:rPr>
        <w:t xml:space="preserve">Fuller’s language remains useful because it shifts the question from moral aspiration to industrial conversion. A society organized around livingry directs advanced technology toward shelter, energy, food security, health, mobility, education, and ecological stability rather than toward increasingly efficient coercion.[cite:13][cite:14][cite:23]</w:t>
      </w:r>
    </w:p>
    <w:p>
      <w:pPr>
        <w:spacing w:line="360" w:after="210" w:lineRule="auto"/>
      </w:pPr>
      <w:r>
        <w:rPr>
          <w:rFonts w:eastAsia="source serif 4" w:cs="source serif 4" w:ascii="source serif 4" w:hAnsi="source serif 4"/>
          <w:color w:val="000000"/>
        </w:rPr>
        <w:t xml:space="preserve">For WWW.V3, livingry means more than pacifism. It means building a stack of practical alternatives that lowers the payoff of conflict: resilient energy grids, water security systems, autonomous logistics for relief, transparent distribution systems, trustworthy mediation tools, and crisis dashboards that reveal where intervention can improve life fastest.[cite:17][cite:22][cite:24]</w:t>
      </w:r>
    </w:p>
    <w:p>
      <w:pPr>
        <w:spacing w:line="360" w:before="315" w:after="105" w:lineRule="auto"/>
        <w:ind w:left="-30"/>
        <w:jc w:val="left"/>
      </w:pPr>
      <w:bookmarkStart w:id="5" w:name="machines_as_de_escalation_infrastructure"/>
      <w:r>
        <w:rPr>
          <w:rFonts w:eastAsia="source serif 4" w:cs="source serif 4" w:ascii="source serif 4" w:hAnsi="source serif 4"/>
          <w:b/>
          <w:color w:val="000000"/>
          <w:sz w:val="24"/>
        </w:rPr>
        <w:t xml:space="preserve">Machines as De-escalation Infrastructure</w:t>
      </w:r>
      <w:bookmarkEnd w:id="5"/>
    </w:p>
    <w:p>
      <w:pPr>
        <w:spacing w:line="360" w:after="210" w:lineRule="auto"/>
      </w:pPr>
      <w:r>
        <w:rPr>
          <w:rFonts w:eastAsia="source serif 4" w:cs="source serif 4" w:ascii="source serif 4" w:hAnsi="source serif 4"/>
          <w:color w:val="000000"/>
        </w:rPr>
        <w:t xml:space="preserve">Machines should not contain unconstrained automated war logic. Research on AI crisis governance emphasizes the need for pre-agreed red lines, circuit breakers, shutdown protocols, monitoring systems, and trusted institutions that can intervene when automated systems create dangerous dynamics.[cite:22] That same logic can be extended in a more ambitious direction: machine systems can be built first for prevention, verification, and constructive coordination rather than merely for emergency control.[cite:17][cite:22]</w:t>
      </w:r>
    </w:p>
    <w:p>
      <w:pPr>
        <w:spacing w:line="360" w:after="210" w:lineRule="auto"/>
      </w:pPr>
      <w:r>
        <w:rPr>
          <w:rFonts w:eastAsia="source serif 4" w:cs="source serif 4" w:ascii="source serif 4" w:hAnsi="source serif 4"/>
          <w:color w:val="000000"/>
        </w:rPr>
        <w:t xml:space="preserve">Under WWW.V3, machine intelligence serves five primary functions:</w:t>
      </w:r>
    </w:p>
    <w:p>
      <w:pPr>
        <w:numPr>
          <w:ilvl w:val="0"/>
          <w:numId w:val="1"/>
        </w:numPr>
        <w:spacing w:line="360" w:before="105" w:after="105" w:lineRule="auto"/>
      </w:pPr>
      <w:r>
        <w:rPr>
          <w:rFonts w:eastAsia="source serif 4" w:cs="source serif 4" w:ascii="source serif 4" w:hAnsi="source serif 4"/>
          <w:color w:val="000000"/>
          <w:sz w:val="21"/>
        </w:rPr>
        <w:t xml:space="preserve">Early warning, identifying stress signals in food, energy, migration, public health, and information systems before they become security crises.[cite:17][cite:22]</w:t>
      </w:r>
    </w:p>
    <w:p>
      <w:pPr>
        <w:numPr>
          <w:ilvl w:val="0"/>
          <w:numId w:val="1"/>
        </w:numPr>
        <w:spacing w:line="360" w:before="105" w:after="105" w:lineRule="auto"/>
      </w:pPr>
      <w:r>
        <w:rPr>
          <w:rFonts w:eastAsia="source serif 4" w:cs="source serif 4" w:ascii="source serif 4" w:hAnsi="source serif 4"/>
          <w:color w:val="000000"/>
          <w:sz w:val="21"/>
        </w:rPr>
        <w:t xml:space="preserve">Option generation, producing negotiated and material alternatives that preserve dignity for all sides rather than forcing binary loss frameworks.[cite:17][cite:24]</w:t>
      </w:r>
    </w:p>
    <w:p>
      <w:pPr>
        <w:numPr>
          <w:ilvl w:val="0"/>
          <w:numId w:val="1"/>
        </w:numPr>
        <w:spacing w:line="360" w:before="105" w:after="105" w:lineRule="auto"/>
      </w:pPr>
      <w:r>
        <w:rPr>
          <w:rFonts w:eastAsia="source serif 4" w:cs="source serif 4" w:ascii="source serif 4" w:hAnsi="source serif 4"/>
          <w:color w:val="000000"/>
          <w:sz w:val="21"/>
        </w:rPr>
        <w:t xml:space="preserve">Resource orchestration, routing power, supplies, transit capacity, financing, and emergency support to reduce scarcity-driven instability.[cite:13][cite:17][cite:23]</w:t>
      </w:r>
    </w:p>
    <w:p>
      <w:pPr>
        <w:numPr>
          <w:ilvl w:val="0"/>
          <w:numId w:val="1"/>
        </w:numPr>
        <w:spacing w:line="360" w:before="105" w:after="105" w:lineRule="auto"/>
      </w:pPr>
      <w:r>
        <w:rPr>
          <w:rFonts w:eastAsia="source serif 4" w:cs="source serif 4" w:ascii="source serif 4" w:hAnsi="source serif 4"/>
          <w:color w:val="000000"/>
          <w:sz w:val="21"/>
        </w:rPr>
        <w:t xml:space="preserve">Trust scaffolding, improving verification, auditability, and shared situational awareness so actors are less likely to misread one another.[cite:22][cite:24]</w:t>
      </w:r>
    </w:p>
    <w:p>
      <w:pPr>
        <w:numPr>
          <w:ilvl w:val="0"/>
          <w:numId w:val="1"/>
        </w:numPr>
        <w:spacing w:line="360" w:before="105" w:after="105" w:lineRule="auto"/>
      </w:pPr>
      <w:r>
        <w:rPr>
          <w:rFonts w:eastAsia="source serif 4" w:cs="source serif 4" w:ascii="source serif 4" w:hAnsi="source serif 4"/>
          <w:color w:val="000000"/>
          <w:sz w:val="21"/>
        </w:rPr>
        <w:t xml:space="preserve">Escalation resistance, embedding hard limits that prevent autonomous systems from converting predictions into coercive action without human, legal, and humanitarian review.[cite:17][cite:22]</w:t>
      </w:r>
    </w:p>
    <w:p>
      <w:pPr>
        <w:spacing w:line="360" w:before="315" w:after="105" w:lineRule="auto"/>
        <w:ind w:left="-30"/>
        <w:jc w:val="left"/>
      </w:pPr>
      <w:bookmarkStart w:id="6" w:name="architecture_of_a_www_v3_system"/>
      <w:r>
        <w:rPr>
          <w:rFonts w:eastAsia="source serif 4" w:cs="source serif 4" w:ascii="source serif 4" w:hAnsi="source serif 4"/>
          <w:b/>
          <w:color w:val="000000"/>
          <w:sz w:val="24"/>
        </w:rPr>
        <w:t xml:space="preserve">Architecture of a WWW.V3 System</w:t>
      </w:r>
      <w:bookmarkEnd w:id="6"/>
    </w:p>
    <w:p>
      <w:pPr>
        <w:spacing w:line="360" w:after="210" w:lineRule="auto"/>
      </w:pPr>
      <w:r>
        <w:rPr>
          <w:rFonts w:eastAsia="source serif 4" w:cs="source serif 4" w:ascii="source serif 4" w:hAnsi="source serif 4"/>
          <w:color w:val="000000"/>
        </w:rPr>
        <w:t xml:space="preserve">A workable WWW.V3 stack would combine social sensing, simulation, governance, and delivery systems. The goal is not omniscient control; it is to make constructive responses faster, cheaper, and more legitimate than destructive ones.[cite:17][cite:22]</w:t>
      </w:r>
    </w:p>
    <w:p>
      <w:pPr>
        <w:spacing w:line="360" w:before="315" w:after="105" w:lineRule="auto"/>
        <w:ind w:left="-30"/>
        <w:jc w:val="left"/>
      </w:pPr>
      <w:bookmarkStart w:id="7" w:name="layer_1_civil_condition_sensing"/>
      <w:r>
        <w:rPr>
          <w:rFonts w:eastAsia="source serif 4" w:cs="source serif 4" w:ascii="source serif 4" w:hAnsi="source serif 4"/>
          <w:b/>
          <w:color w:val="000000"/>
          <w:sz w:val="24"/>
        </w:rPr>
        <w:t xml:space="preserve">Layer 1: Civil Condition Sensing</w:t>
      </w:r>
      <w:bookmarkEnd w:id="7"/>
    </w:p>
    <w:p>
      <w:pPr>
        <w:spacing w:line="360" w:after="210" w:lineRule="auto"/>
      </w:pPr>
      <w:r>
        <w:rPr>
          <w:rFonts w:eastAsia="source serif 4" w:cs="source serif 4" w:ascii="source serif 4" w:hAnsi="source serif 4"/>
          <w:color w:val="000000"/>
        </w:rPr>
        <w:t xml:space="preserve">This layer monitors indicators tied to conflict onset, including energy insecurity, commodity shocks, unemployment spikes, displacement, infrastructure failure, online hate cascades, and institutional mistrust. The emphasis is on public-interest sensing with legal safeguards, not ubiquitous surveillance.[cite:17][cite:22][cite:24]</w:t>
      </w:r>
    </w:p>
    <w:p>
      <w:pPr>
        <w:spacing w:line="360" w:before="315" w:after="105" w:lineRule="auto"/>
        <w:ind w:left="-30"/>
        <w:jc w:val="left"/>
      </w:pPr>
      <w:bookmarkStart w:id="8" w:name="layer_2_crisis_interpretation"/>
      <w:r>
        <w:rPr>
          <w:rFonts w:eastAsia="source serif 4" w:cs="source serif 4" w:ascii="source serif 4" w:hAnsi="source serif 4"/>
          <w:b/>
          <w:color w:val="000000"/>
          <w:sz w:val="24"/>
        </w:rPr>
        <w:t xml:space="preserve">Layer 2: Crisis Interpretation</w:t>
      </w:r>
      <w:bookmarkEnd w:id="8"/>
    </w:p>
    <w:p>
      <w:pPr>
        <w:spacing w:line="360" w:after="210" w:lineRule="auto"/>
      </w:pPr>
      <w:r>
        <w:rPr>
          <w:rFonts w:eastAsia="source serif 4" w:cs="source serif 4" w:ascii="source serif 4" w:hAnsi="source serif 4"/>
          <w:color w:val="000000"/>
        </w:rPr>
        <w:t xml:space="preserve">Interpretation engines distinguish between noise and true escalation pathways. Instead of labeling an adversary for punishment, the system asks which conditions are making confrontation appear rational and which nonviolent interventions can change that calculus.[cite:17][cite:24]</w:t>
      </w:r>
    </w:p>
    <w:p>
      <w:pPr>
        <w:spacing w:line="360" w:before="315" w:after="105" w:lineRule="auto"/>
        <w:ind w:left="-30"/>
        <w:jc w:val="left"/>
      </w:pPr>
      <w:bookmarkStart w:id="9" w:name="layer_3_generative_alternative_design"/>
      <w:r>
        <w:rPr>
          <w:rFonts w:eastAsia="source serif 4" w:cs="source serif 4" w:ascii="source serif 4" w:hAnsi="source serif 4"/>
          <w:b/>
          <w:color w:val="000000"/>
          <w:sz w:val="24"/>
        </w:rPr>
        <w:t xml:space="preserve">Layer 3: Generative Alternative Design</w:t>
      </w:r>
      <w:bookmarkEnd w:id="9"/>
    </w:p>
    <w:p>
      <w:pPr>
        <w:spacing w:line="360" w:after="210" w:lineRule="auto"/>
      </w:pPr>
      <w:r>
        <w:rPr>
          <w:rFonts w:eastAsia="source serif 4" w:cs="source serif 4" w:ascii="source serif 4" w:hAnsi="source serif 4"/>
          <w:color w:val="000000"/>
        </w:rPr>
        <w:t xml:space="preserve">This layer proposes practical alternatives: emergency housing deployments, energy swaps, debt standstills, food corridor redesign, digital public communication plans, labor stabilization packages, and mediated dialogue sequences. In Fuller’s terms, design replaces domination.[cite:13][cite:14][cite:23]</w:t>
      </w:r>
    </w:p>
    <w:p>
      <w:pPr>
        <w:spacing w:line="360" w:before="315" w:after="105" w:lineRule="auto"/>
        <w:ind w:left="-30"/>
        <w:jc w:val="left"/>
      </w:pPr>
      <w:bookmarkStart w:id="10" w:name="layer_4_human_governance"/>
      <w:r>
        <w:rPr>
          <w:rFonts w:eastAsia="source serif 4" w:cs="source serif 4" w:ascii="source serif 4" w:hAnsi="source serif 4"/>
          <w:b/>
          <w:color w:val="000000"/>
          <w:sz w:val="24"/>
        </w:rPr>
        <w:t xml:space="preserve">Layer 4: Human Governance</w:t>
      </w:r>
      <w:bookmarkEnd w:id="10"/>
    </w:p>
    <w:p>
      <w:pPr>
        <w:spacing w:line="360" w:after="210" w:lineRule="auto"/>
      </w:pPr>
      <w:r>
        <w:rPr>
          <w:rFonts w:eastAsia="source serif 4" w:cs="source serif 4" w:ascii="source serif 4" w:hAnsi="source serif 4"/>
          <w:color w:val="000000"/>
        </w:rPr>
        <w:t xml:space="preserve">No machine should have unilateral authority to initiate violence. Decision rights should remain with accountable human institutions, supported by predefined red lines, transparent escalation thresholds, independent review, and auditable logs.[cite:22]</w:t>
      </w:r>
    </w:p>
    <w:p>
      <w:pPr>
        <w:spacing w:line="360" w:before="315" w:after="105" w:lineRule="auto"/>
        <w:ind w:left="-30"/>
        <w:jc w:val="left"/>
      </w:pPr>
      <w:bookmarkStart w:id="11" w:name="layer_5_delivery_infrastructure"/>
      <w:r>
        <w:rPr>
          <w:rFonts w:eastAsia="source serif 4" w:cs="source serif 4" w:ascii="source serif 4" w:hAnsi="source serif 4"/>
          <w:b/>
          <w:color w:val="000000"/>
          <w:sz w:val="24"/>
        </w:rPr>
        <w:t xml:space="preserve">Layer 5: Delivery Infrastructure</w:t>
      </w:r>
      <w:bookmarkEnd w:id="11"/>
    </w:p>
    <w:p>
      <w:pPr>
        <w:spacing w:line="360" w:after="210" w:lineRule="auto"/>
      </w:pPr>
      <w:r>
        <w:rPr>
          <w:rFonts w:eastAsia="source serif 4" w:cs="source serif 4" w:ascii="source serif 4" w:hAnsi="source serif 4"/>
          <w:color w:val="000000"/>
        </w:rPr>
        <w:t xml:space="preserve">A de-escalation architecture fails without execution capacity. Relief logistics, public service delivery, dispute resolution mechanisms, and economic stabilization tools must be deployable at the same speed that military systems currently promise for coercive response.[cite:17][cite:22][cite:24]</w:t>
      </w:r>
    </w:p>
    <w:p>
      <w:pPr>
        <w:spacing w:line="360" w:before="315" w:after="105" w:lineRule="auto"/>
        <w:ind w:left="-30"/>
        <w:jc w:val="left"/>
      </w:pPr>
      <w:bookmarkStart w:id="12" w:name="design_principles"/>
      <w:r>
        <w:rPr>
          <w:rFonts w:eastAsia="source serif 4" w:cs="source serif 4" w:ascii="source serif 4" w:hAnsi="source serif 4"/>
          <w:b/>
          <w:color w:val="000000"/>
          <w:sz w:val="24"/>
        </w:rPr>
        <w:t xml:space="preserve">Design Principles</w:t>
      </w:r>
      <w:bookmarkEnd w:id="12"/>
    </w:p>
    <w:p>
      <w:pPr>
        <w:spacing w:line="360" w:after="210" w:lineRule="auto"/>
      </w:pPr>
      <w:r>
        <w:rPr>
          <w:rFonts w:eastAsia="source serif 4" w:cs="source serif 4" w:ascii="source serif 4" w:hAnsi="source serif 4"/>
          <w:color w:val="000000"/>
        </w:rPr>
        <w:t xml:space="preserve">WWW.V3 depends on a set of operating principles that keep machine intelligence aligned with human flourishing rather than adversarial optimization.</w:t>
      </w:r>
    </w:p>
    <w:p>
      <w:pPr>
        <w:numPr>
          <w:ilvl w:val="0"/>
          <w:numId w:val="2"/>
        </w:numPr>
        <w:spacing w:line="360" w:before="105" w:after="105" w:lineRule="auto"/>
      </w:pPr>
      <w:r>
        <w:rPr>
          <w:rFonts w:eastAsia="source serif 4" w:cs="source serif 4" w:ascii="source serif 4" w:hAnsi="source serif 4"/>
          <w:b/>
          <w:color w:val="000000"/>
          <w:sz w:val="21"/>
        </w:rPr>
        <w:t xml:space="preserve">Life advantage over force advantage.</w:t>
      </w:r>
      <w:r>
        <w:rPr>
          <w:rFonts w:eastAsia="source serif 4" w:cs="source serif 4" w:ascii="source serif 4" w:hAnsi="source serif 4"/>
          <w:color w:val="000000"/>
          <w:sz w:val="21"/>
        </w:rPr>
        <w:t xml:space="preserve"> System objectives should privilege health, security, dignity, and ecological resilience over positional dominance.[cite:14][cite:23]</w:t>
      </w:r>
    </w:p>
    <w:p>
      <w:pPr>
        <w:numPr>
          <w:ilvl w:val="0"/>
          <w:numId w:val="2"/>
        </w:numPr>
        <w:spacing w:line="360" w:before="105" w:after="105" w:lineRule="auto"/>
      </w:pPr>
      <w:r>
        <w:rPr>
          <w:rFonts w:eastAsia="source serif 4" w:cs="source serif 4" w:ascii="source serif 4" w:hAnsi="source serif 4"/>
          <w:b/>
          <w:color w:val="000000"/>
          <w:sz w:val="21"/>
        </w:rPr>
        <w:t xml:space="preserve">Positive-sum default.</w:t>
      </w:r>
      <w:r>
        <w:rPr>
          <w:rFonts w:eastAsia="source serif 4" w:cs="source serif 4" w:ascii="source serif 4" w:hAnsi="source serif 4"/>
          <w:color w:val="000000"/>
          <w:sz w:val="21"/>
        </w:rPr>
        <w:t xml:space="preserve"> When conflict triggers emerge, the first machine action should be to surface mutual-gain options and rapid relief pathways.[cite:17][cite:24]</w:t>
      </w:r>
    </w:p>
    <w:p>
      <w:pPr>
        <w:numPr>
          <w:ilvl w:val="0"/>
          <w:numId w:val="2"/>
        </w:numPr>
        <w:spacing w:line="360" w:before="105" w:after="105" w:lineRule="auto"/>
      </w:pPr>
      <w:r>
        <w:rPr>
          <w:rFonts w:eastAsia="source serif 4" w:cs="source serif 4" w:ascii="source serif 4" w:hAnsi="source serif 4"/>
          <w:b/>
          <w:color w:val="000000"/>
          <w:sz w:val="21"/>
        </w:rPr>
        <w:t xml:space="preserve">Human accountability.</w:t>
      </w:r>
      <w:r>
        <w:rPr>
          <w:rFonts w:eastAsia="source serif 4" w:cs="source serif 4" w:ascii="source serif 4" w:hAnsi="source serif 4"/>
          <w:color w:val="000000"/>
          <w:sz w:val="21"/>
        </w:rPr>
        <w:t xml:space="preserve"> Machines may recommend, simulate, verify, and coordinate, but they should not own sovereign violence decisions.[cite:22]</w:t>
      </w:r>
    </w:p>
    <w:p>
      <w:pPr>
        <w:numPr>
          <w:ilvl w:val="0"/>
          <w:numId w:val="2"/>
        </w:numPr>
        <w:spacing w:line="360" w:before="105" w:after="105" w:lineRule="auto"/>
      </w:pPr>
      <w:r>
        <w:rPr>
          <w:rFonts w:eastAsia="source serif 4" w:cs="source serif 4" w:ascii="source serif 4" w:hAnsi="source serif 4"/>
          <w:b/>
          <w:color w:val="000000"/>
          <w:sz w:val="21"/>
        </w:rPr>
        <w:t xml:space="preserve">Contestability and auditability.</w:t>
      </w:r>
      <w:r>
        <w:rPr>
          <w:rFonts w:eastAsia="source serif 4" w:cs="source serif 4" w:ascii="source serif 4" w:hAnsi="source serif 4"/>
          <w:color w:val="000000"/>
          <w:sz w:val="21"/>
        </w:rPr>
        <w:t xml:space="preserve"> Affected parties need ways to inspect recommendations, challenge assumptions, and appeal decisions.[cite:22]</w:t>
      </w:r>
    </w:p>
    <w:p>
      <w:pPr>
        <w:numPr>
          <w:ilvl w:val="0"/>
          <w:numId w:val="2"/>
        </w:numPr>
        <w:spacing w:line="360" w:before="105" w:after="105" w:lineRule="auto"/>
      </w:pPr>
      <w:r>
        <w:rPr>
          <w:rFonts w:eastAsia="source serif 4" w:cs="source serif 4" w:ascii="source serif 4" w:hAnsi="source serif 4"/>
          <w:b/>
          <w:color w:val="000000"/>
          <w:sz w:val="21"/>
        </w:rPr>
        <w:t xml:space="preserve">Distributed prosperity as security policy.</w:t>
      </w:r>
      <w:r>
        <w:rPr>
          <w:rFonts w:eastAsia="source serif 4" w:cs="source serif 4" w:ascii="source serif 4" w:hAnsi="source serif 4"/>
          <w:color w:val="000000"/>
          <w:sz w:val="21"/>
        </w:rPr>
        <w:t xml:space="preserve"> Shared prosperity is not a side effect; it is the primary long-run mechanism of de-escalation.[cite:13][cite:14][cite:23]</w:t>
      </w:r>
    </w:p>
    <w:p>
      <w:pPr>
        <w:spacing w:line="360" w:before="315" w:after="105" w:lineRule="auto"/>
        <w:ind w:left="-30"/>
        <w:jc w:val="left"/>
      </w:pPr>
      <w:bookmarkStart w:id="13" w:name="comparison_of_strategic_models"/>
      <w:r>
        <w:rPr>
          <w:rFonts w:eastAsia="source serif 4" w:cs="source serif 4" w:ascii="source serif 4" w:hAnsi="source serif 4"/>
          <w:b/>
          <w:color w:val="000000"/>
          <w:sz w:val="24"/>
        </w:rPr>
        <w:t xml:space="preserve">Comparison of Strategic Models</w:t>
      </w:r>
      <w:bookmarkEnd w:id="13"/>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Dimension</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War Logic</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Deterrence Logic</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WWW.V3 Livingry Logic</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Primary aim</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Defeat or compel an opponent</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Prevent attack through credible retaliation</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Make escalation less rational by improving life conditions and option sets [cite:17][cite:22][cite:23]</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Role of machines</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Targeting, speed, surveillance, operational advantage</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Warning, command support, retaliation credibility</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Early warning, alternative generation, resource coordination, trust support [cite:17][cite:22]</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View of scarcity</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Often exploited as leverage</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Managed as a strategic variable</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Reduced directly through provisioning and resilience design [cite:13][cite:17][cite:23]</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Governance model</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Hierarchical command</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Hierarchical command with red lines</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Human-led, auditable, multi-stakeholder, prevention-oriented [cite:22][cite:24]</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Success metric</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Territorial or political victory</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Stability through fear</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Durable de-escalation and rising quality of life [cite:14][cite:23][cite:24]</w:t>
            </w:r>
          </w:p>
        </w:tc>
      </w:tr>
    </w:tbl>
    <w:p>
      <w:pPr>
        <w:spacing w:lineRule="auto"/>
      </w:pPr>
    </w:p>
    <w:p>
      <w:pPr>
        <w:spacing w:line="360" w:before="315" w:after="105" w:lineRule="auto"/>
        <w:ind w:left="-30"/>
        <w:jc w:val="left"/>
      </w:pPr>
      <w:bookmarkStart w:id="14" w:name="policy_implications"/>
      <w:r>
        <w:rPr>
          <w:rFonts w:eastAsia="source serif 4" w:cs="source serif 4" w:ascii="source serif 4" w:hAnsi="source serif 4"/>
          <w:b/>
          <w:color w:val="000000"/>
          <w:sz w:val="24"/>
        </w:rPr>
        <w:t xml:space="preserve">Policy Implications</w:t>
      </w:r>
      <w:bookmarkEnd w:id="14"/>
    </w:p>
    <w:p>
      <w:pPr>
        <w:spacing w:line="360" w:after="210" w:lineRule="auto"/>
      </w:pPr>
      <w:r>
        <w:rPr>
          <w:rFonts w:eastAsia="source serif 4" w:cs="source serif 4" w:ascii="source serif 4" w:hAnsi="source serif 4"/>
          <w:color w:val="000000"/>
        </w:rPr>
        <w:t xml:space="preserve">Governments, labs, and civil institutions would need to treat de-escalation capacity as strategic infrastructure. Chatham House argues that credible crisis governance depends on prebuilt institutions, monitoring infrastructure, expert networks, and modular agreements that can activate quickly when stress events occur.[cite:22] WWW.V3 extends that logic from emergency response into a standing civilizational platform.</w:t>
      </w:r>
    </w:p>
    <w:p>
      <w:pPr>
        <w:spacing w:line="360" w:after="210" w:lineRule="auto"/>
      </w:pPr>
      <w:r>
        <w:rPr>
          <w:rFonts w:eastAsia="source serif 4" w:cs="source serif 4" w:ascii="source serif 4" w:hAnsi="source serif 4"/>
          <w:color w:val="000000"/>
        </w:rPr>
        <w:t xml:space="preserve">Three policy shifts follow:</w:t>
      </w:r>
    </w:p>
    <w:p>
      <w:pPr>
        <w:numPr>
          <w:ilvl w:val="0"/>
          <w:numId w:val="3"/>
        </w:numPr>
        <w:spacing w:line="360" w:before="105" w:after="105" w:lineRule="auto"/>
      </w:pPr>
      <w:r>
        <w:rPr>
          <w:rFonts w:eastAsia="source serif 4" w:cs="source serif 4" w:ascii="source serif 4" w:hAnsi="source serif 4"/>
          <w:color w:val="000000"/>
          <w:sz w:val="21"/>
        </w:rPr>
        <w:t xml:space="preserve">Public investment should expand from military readiness alone to include energy resilience, food logistics, digital trust infrastructure, and machine-assisted mediation systems as core national and international security assets.[cite:17][cite:22]</w:t>
      </w:r>
    </w:p>
    <w:p>
      <w:pPr>
        <w:numPr>
          <w:ilvl w:val="0"/>
          <w:numId w:val="3"/>
        </w:numPr>
        <w:spacing w:line="360" w:before="105" w:after="105" w:lineRule="auto"/>
      </w:pPr>
      <w:r>
        <w:rPr>
          <w:rFonts w:eastAsia="source serif 4" w:cs="source serif 4" w:ascii="source serif 4" w:hAnsi="source serif 4"/>
          <w:color w:val="000000"/>
          <w:sz w:val="21"/>
        </w:rPr>
        <w:t xml:space="preserve">Frontier AI governance should require safety-based intervention tools, independent oversight, and strict limits against autonomous escalation pathways.[cite:22]</w:t>
      </w:r>
    </w:p>
    <w:p>
      <w:pPr>
        <w:numPr>
          <w:ilvl w:val="0"/>
          <w:numId w:val="3"/>
        </w:numPr>
        <w:spacing w:line="360" w:before="105" w:after="105" w:lineRule="auto"/>
      </w:pPr>
      <w:r>
        <w:rPr>
          <w:rFonts w:eastAsia="source serif 4" w:cs="source serif 4" w:ascii="source serif 4" w:hAnsi="source serif 4"/>
          <w:color w:val="000000"/>
          <w:sz w:val="21"/>
        </w:rPr>
        <w:t xml:space="preserve">International institutions should pilot shared de-escalation stacks, especially in regions where resource stress, infrastructure fragility, and narrative warfare interact.[cite:17][cite:22][cite:24]</w:t>
      </w:r>
    </w:p>
    <w:p>
      <w:pPr>
        <w:spacing w:line="360" w:before="315" w:after="105" w:lineRule="auto"/>
        <w:ind w:left="-30"/>
        <w:jc w:val="left"/>
      </w:pPr>
      <w:bookmarkStart w:id="15" w:name="risks_and_failure_modes"/>
      <w:r>
        <w:rPr>
          <w:rFonts w:eastAsia="source serif 4" w:cs="source serif 4" w:ascii="source serif 4" w:hAnsi="source serif 4"/>
          <w:b/>
          <w:color w:val="000000"/>
          <w:sz w:val="24"/>
        </w:rPr>
        <w:t xml:space="preserve">Risks and Failure Modes</w:t>
      </w:r>
      <w:bookmarkEnd w:id="15"/>
    </w:p>
    <w:p>
      <w:pPr>
        <w:spacing w:line="360" w:after="210" w:lineRule="auto"/>
      </w:pPr>
      <w:r>
        <w:rPr>
          <w:rFonts w:eastAsia="source serif 4" w:cs="source serif 4" w:ascii="source serif 4" w:hAnsi="source serif 4"/>
          <w:color w:val="000000"/>
        </w:rPr>
        <w:t xml:space="preserve">A livingry system can fail if it becomes paternalistic, coercively technocratic, or a disguised intelligence platform. It can also fail if states demand de-escalation tools rhetorically while continuing to reward systems designed for dominance and rapid coercion.[cite:22]</w:t>
      </w:r>
    </w:p>
    <w:p>
      <w:pPr>
        <w:spacing w:line="360" w:after="210" w:lineRule="auto"/>
      </w:pPr>
      <w:r>
        <w:rPr>
          <w:rFonts w:eastAsia="source serif 4" w:cs="source serif 4" w:ascii="source serif 4" w:hAnsi="source serif 4"/>
          <w:color w:val="000000"/>
        </w:rPr>
        <w:t xml:space="preserve">Another risk is asymmetry: one actor may build for livingry while another exploits the openness of that architecture. This means WWW.V3 cannot be naive. It needs defensive hardening, robust governance, and the ability to preserve nonviolent options under adversarial pressure without collapsing into automated war logic.[cite:17][cite:22]</w:t>
      </w:r>
    </w:p>
    <w:p>
      <w:pPr>
        <w:spacing w:line="360" w:before="315" w:after="105" w:lineRule="auto"/>
        <w:ind w:left="-30"/>
        <w:jc w:val="left"/>
      </w:pPr>
      <w:bookmarkStart w:id="16" w:name="strategic_conclusion"/>
      <w:r>
        <w:rPr>
          <w:rFonts w:eastAsia="source serif 4" w:cs="source serif 4" w:ascii="source serif 4" w:hAnsi="source serif 4"/>
          <w:b/>
          <w:color w:val="000000"/>
          <w:sz w:val="24"/>
        </w:rPr>
        <w:t xml:space="preserve">Strategic Conclusion</w:t>
      </w:r>
      <w:bookmarkEnd w:id="16"/>
    </w:p>
    <w:p>
      <w:pPr>
        <w:spacing w:line="360" w:after="210" w:lineRule="auto"/>
      </w:pPr>
      <w:r>
        <w:rPr>
          <w:rFonts w:eastAsia="source serif 4" w:cs="source serif 4" w:ascii="source serif 4" w:hAnsi="source serif 4"/>
          <w:color w:val="000000"/>
        </w:rPr>
        <w:t xml:space="preserve">WWW.V3 offers a more precise frame than WW3 because it recognizes that the decisive arena is no longer only the battlefield. The central contest is between two machine-mediated futures: one that accelerates inherited conflict triggers, and one that makes those triggers increasingly obsolete through livingry, de-escalation, and materially grounded shared prosperity.[cite:14][cite:21][cite:22][cite:23]</w:t>
      </w:r>
    </w:p>
    <w:p>
      <w:pPr>
        <w:spacing w:line="360" w:after="210" w:lineRule="auto"/>
      </w:pPr>
      <w:r>
        <w:rPr>
          <w:rFonts w:eastAsia="source serif 4" w:cs="source serif 4" w:ascii="source serif 4" w:hAnsi="source serif 4"/>
          <w:color w:val="000000"/>
        </w:rPr>
        <w:t xml:space="preserve">The strongest form of peace is not passive restraint. It is the active construction of systems so competent at sustaining life, resolving crises, and widening human possibility that war loses both its administrative momentum and its psychological inevitability.[cite:13][cite:14][cite:17][cite:23]</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decimal"/>
      <w:lvlText w:val="%1."/>
      <w:lvlJc w:val="left"/>
      <w:pPr>
        <w:tabs>
          <w:tab w:val="num" w:pos="900"/>
        </w:tabs>
        <w:ind w:left="540" w:hanging="360"/>
      </w:p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 w:type="table" w:default="1" w:styleId="TableNormal">
    <w:name w:val="Normal Table"/>
    <w:uiPriority w:val="99"/>
    <w:semiHidden/>
    <w:unhideWhenUsed/>
    <w:tblPr>
      <w:tblInd w:w="0" w:type="dxa"/>
      <w:tblCellMar>
        <w:top w:w="80" w:type="dxa"/>
        <w:left w:w="160" w:type="dxa"/>
        <w:bottom w:w="80" w:type="dxa"/>
        <w:right w:w="160" w:type="dxa"/>
      </w:tblCellMar>
    </w:tblPr>
  </w:style>
  <w:style w:type="table" w:styleId="TableGrid">
    <w:name w:val="Normal Grid"/>
    <w:basedOn w:val="TableNormal"/>
    <w:uiPriority w:val="39"/>
    <w:pPr>
      <w:spacing w:after="0" w:line="240" w:lineRule="auto"/>
    </w:pPr>
    <w:tblPr>
      <w:tblInd w:w="0" w:type="dxa"/>
      <w:tblCellMar>
        <w:top w:w="80" w:type="dxa"/>
        <w:left w:w="160" w:type="dxa"/>
        <w:bottom w:w="80" w:type="dxa"/>
        <w:right w:w="160" w:type="dxa"/>
      </w:tblCellMar>
    </w:tbl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2026-07-14T15:32:33.407Z</dcterms:created>
  <dcterms:modified xsi:type="dcterms:W3CDTF">2026-07-14T15:32:33.407Z</dcterms:modified>
</cp:coreProperties>
</file>